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30B3A" w14:textId="77777777" w:rsidR="00AC5F1C" w:rsidRPr="00A02EDE" w:rsidRDefault="004E78F4" w:rsidP="00A03C83">
      <w:pPr>
        <w:jc w:val="center"/>
        <w:rPr>
          <w:b/>
          <w:color w:val="000000" w:themeColor="text1"/>
          <w:sz w:val="28"/>
          <w:szCs w:val="28"/>
          <w:u w:val="single"/>
        </w:rPr>
      </w:pPr>
      <w:bookmarkStart w:id="0" w:name="_GoBack"/>
      <w:bookmarkEnd w:id="0"/>
      <w:r w:rsidRPr="00A02EDE">
        <w:rPr>
          <w:b/>
          <w:color w:val="000000" w:themeColor="text1"/>
          <w:sz w:val="28"/>
          <w:szCs w:val="28"/>
          <w:u w:val="single"/>
        </w:rPr>
        <w:t xml:space="preserve">CAPA </w:t>
      </w:r>
      <w:r w:rsidR="00AA1249" w:rsidRPr="00A02EDE">
        <w:rPr>
          <w:b/>
          <w:color w:val="000000" w:themeColor="text1"/>
          <w:sz w:val="28"/>
          <w:szCs w:val="28"/>
          <w:u w:val="single"/>
        </w:rPr>
        <w:t>des professeurs certifiés</w:t>
      </w:r>
    </w:p>
    <w:p w14:paraId="13929CF2" w14:textId="77777777" w:rsidR="004E78F4" w:rsidRPr="00A02EDE" w:rsidRDefault="00AC5F1C" w:rsidP="00CC1019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A02EDE">
        <w:rPr>
          <w:b/>
          <w:color w:val="000000" w:themeColor="text1"/>
          <w:sz w:val="28"/>
          <w:szCs w:val="28"/>
          <w:u w:val="single"/>
        </w:rPr>
        <w:t>E</w:t>
      </w:r>
      <w:r w:rsidR="00AA1249" w:rsidRPr="00A02EDE">
        <w:rPr>
          <w:b/>
          <w:color w:val="000000" w:themeColor="text1"/>
          <w:sz w:val="28"/>
          <w:szCs w:val="28"/>
          <w:u w:val="single"/>
        </w:rPr>
        <w:t xml:space="preserve">xamen des </w:t>
      </w:r>
      <w:r w:rsidR="004E78F4" w:rsidRPr="00A02EDE">
        <w:rPr>
          <w:b/>
          <w:color w:val="000000" w:themeColor="text1"/>
          <w:sz w:val="28"/>
          <w:szCs w:val="28"/>
          <w:u w:val="single"/>
        </w:rPr>
        <w:t xml:space="preserve">recours </w:t>
      </w:r>
      <w:r w:rsidR="00AA1249" w:rsidRPr="00A02EDE">
        <w:rPr>
          <w:b/>
          <w:color w:val="000000" w:themeColor="text1"/>
          <w:sz w:val="28"/>
          <w:szCs w:val="28"/>
          <w:u w:val="single"/>
        </w:rPr>
        <w:t xml:space="preserve">contre l’appréciation finale de la rectrice portant sur le </w:t>
      </w:r>
      <w:r w:rsidR="004E78F4" w:rsidRPr="00A02EDE">
        <w:rPr>
          <w:b/>
          <w:color w:val="000000" w:themeColor="text1"/>
          <w:sz w:val="28"/>
          <w:szCs w:val="28"/>
          <w:u w:val="single"/>
        </w:rPr>
        <w:t>RDV de carrière</w:t>
      </w:r>
    </w:p>
    <w:p w14:paraId="7A9BA077" w14:textId="77777777" w:rsidR="004E78F4" w:rsidRPr="00A02EDE" w:rsidRDefault="004E78F4" w:rsidP="00A03C83">
      <w:pPr>
        <w:jc w:val="both"/>
        <w:rPr>
          <w:color w:val="000000" w:themeColor="text1"/>
        </w:rPr>
      </w:pPr>
      <w:r w:rsidRPr="00A02EDE">
        <w:rPr>
          <w:color w:val="000000" w:themeColor="text1"/>
        </w:rPr>
        <w:t>Aujourd’hui se tient la CAPA des professeurs certifiés portant sur l’examen des recours contre les appréciations finales de la rectrice portant sur le RDV de carrière.</w:t>
      </w:r>
    </w:p>
    <w:p w14:paraId="2DAC3484" w14:textId="14E73D22" w:rsidR="004E78F4" w:rsidRPr="00A02EDE" w:rsidRDefault="0029417F" w:rsidP="00A03C83">
      <w:pPr>
        <w:jc w:val="both"/>
        <w:rPr>
          <w:b/>
          <w:bCs/>
          <w:color w:val="000000" w:themeColor="text1"/>
        </w:rPr>
      </w:pPr>
      <w:r w:rsidRPr="00A02EDE">
        <w:rPr>
          <w:b/>
          <w:bCs/>
          <w:color w:val="000000" w:themeColor="text1"/>
        </w:rPr>
        <w:t>22</w:t>
      </w:r>
      <w:r w:rsidR="00A83214">
        <w:rPr>
          <w:b/>
          <w:bCs/>
          <w:color w:val="000000" w:themeColor="text1"/>
        </w:rPr>
        <w:t xml:space="preserve">49 </w:t>
      </w:r>
      <w:r w:rsidRPr="00A02EDE">
        <w:rPr>
          <w:b/>
          <w:bCs/>
          <w:color w:val="000000" w:themeColor="text1"/>
        </w:rPr>
        <w:t xml:space="preserve">RDV de carrière </w:t>
      </w:r>
      <w:r w:rsidR="00FF56B4" w:rsidRPr="00A02EDE">
        <w:rPr>
          <w:b/>
          <w:bCs/>
          <w:color w:val="000000" w:themeColor="text1"/>
        </w:rPr>
        <w:t>ont</w:t>
      </w:r>
      <w:r w:rsidRPr="00A02EDE">
        <w:rPr>
          <w:b/>
          <w:bCs/>
          <w:color w:val="000000" w:themeColor="text1"/>
        </w:rPr>
        <w:t xml:space="preserve"> eu lieu en 2018-2019 </w:t>
      </w:r>
      <w:r w:rsidR="00BA71DA" w:rsidRPr="00A02EDE">
        <w:rPr>
          <w:b/>
          <w:bCs/>
          <w:color w:val="000000" w:themeColor="text1"/>
        </w:rPr>
        <w:t>pour</w:t>
      </w:r>
      <w:r w:rsidRPr="00A02EDE">
        <w:rPr>
          <w:b/>
          <w:bCs/>
          <w:color w:val="000000" w:themeColor="text1"/>
        </w:rPr>
        <w:t xml:space="preserve"> </w:t>
      </w:r>
      <w:r w:rsidR="00BA71DA" w:rsidRPr="00A02EDE">
        <w:rPr>
          <w:b/>
          <w:bCs/>
          <w:color w:val="000000" w:themeColor="text1"/>
        </w:rPr>
        <w:t>236</w:t>
      </w:r>
      <w:r w:rsidR="00A83214">
        <w:rPr>
          <w:b/>
          <w:bCs/>
          <w:color w:val="000000" w:themeColor="text1"/>
        </w:rPr>
        <w:t>2</w:t>
      </w:r>
      <w:r w:rsidR="00BA71DA" w:rsidRPr="00A02EDE">
        <w:rPr>
          <w:b/>
          <w:bCs/>
          <w:color w:val="000000" w:themeColor="text1"/>
        </w:rPr>
        <w:t xml:space="preserve"> collègues éligibles</w:t>
      </w:r>
      <w:r w:rsidRPr="00A02EDE">
        <w:rPr>
          <w:b/>
          <w:bCs/>
          <w:color w:val="000000" w:themeColor="text1"/>
        </w:rPr>
        <w:t>. Sur ces 22</w:t>
      </w:r>
      <w:r w:rsidR="00A83214">
        <w:rPr>
          <w:b/>
          <w:bCs/>
          <w:color w:val="000000" w:themeColor="text1"/>
        </w:rPr>
        <w:t>49</w:t>
      </w:r>
      <w:r w:rsidRPr="00A02EDE">
        <w:rPr>
          <w:b/>
          <w:bCs/>
          <w:color w:val="000000" w:themeColor="text1"/>
        </w:rPr>
        <w:t xml:space="preserve"> RDV, </w:t>
      </w:r>
      <w:r w:rsidR="00BA71DA" w:rsidRPr="00A02EDE">
        <w:rPr>
          <w:b/>
          <w:bCs/>
          <w:color w:val="000000" w:themeColor="text1"/>
        </w:rPr>
        <w:t xml:space="preserve">146 collègues </w:t>
      </w:r>
      <w:r w:rsidR="00D012E5" w:rsidRPr="00A02EDE">
        <w:rPr>
          <w:b/>
          <w:bCs/>
          <w:color w:val="000000" w:themeColor="text1"/>
        </w:rPr>
        <w:t>soit 6.4</w:t>
      </w:r>
      <w:r w:rsidR="00413684">
        <w:rPr>
          <w:b/>
          <w:bCs/>
          <w:color w:val="000000" w:themeColor="text1"/>
        </w:rPr>
        <w:t>9</w:t>
      </w:r>
      <w:r w:rsidR="00D012E5" w:rsidRPr="00A02EDE">
        <w:rPr>
          <w:b/>
          <w:bCs/>
          <w:color w:val="000000" w:themeColor="text1"/>
        </w:rPr>
        <w:t xml:space="preserve"> % </w:t>
      </w:r>
      <w:r w:rsidR="00BA71DA" w:rsidRPr="00A02EDE">
        <w:rPr>
          <w:b/>
          <w:bCs/>
          <w:color w:val="000000" w:themeColor="text1"/>
        </w:rPr>
        <w:t xml:space="preserve">ont dans un premier temps fait un recours gracieux. 64 collègues </w:t>
      </w:r>
      <w:r w:rsidR="00FF56B4" w:rsidRPr="00A02EDE">
        <w:rPr>
          <w:b/>
          <w:bCs/>
          <w:color w:val="000000" w:themeColor="text1"/>
        </w:rPr>
        <w:t xml:space="preserve">seulement </w:t>
      </w:r>
      <w:r w:rsidR="00D012E5" w:rsidRPr="00A02EDE">
        <w:rPr>
          <w:b/>
          <w:bCs/>
          <w:color w:val="000000" w:themeColor="text1"/>
        </w:rPr>
        <w:t xml:space="preserve">soit 2.84% </w:t>
      </w:r>
      <w:r w:rsidR="00BA71DA" w:rsidRPr="00A02EDE">
        <w:rPr>
          <w:b/>
          <w:bCs/>
          <w:color w:val="000000" w:themeColor="text1"/>
        </w:rPr>
        <w:t xml:space="preserve">ont ensuite saisi la CAPA. </w:t>
      </w:r>
    </w:p>
    <w:p w14:paraId="1DC4DC5F" w14:textId="22FC6F87" w:rsidR="006B1A1F" w:rsidRPr="00A02EDE" w:rsidRDefault="007528A2" w:rsidP="00A03C83">
      <w:pPr>
        <w:jc w:val="both"/>
        <w:rPr>
          <w:color w:val="000000" w:themeColor="text1"/>
        </w:rPr>
      </w:pPr>
      <w:r w:rsidRPr="00A02EDE">
        <w:rPr>
          <w:color w:val="000000" w:themeColor="text1"/>
        </w:rPr>
        <w:t>A l’issu</w:t>
      </w:r>
      <w:r w:rsidR="00FF56B4" w:rsidRPr="00A02EDE">
        <w:rPr>
          <w:color w:val="000000" w:themeColor="text1"/>
        </w:rPr>
        <w:t>e</w:t>
      </w:r>
      <w:r w:rsidRPr="00A02EDE">
        <w:rPr>
          <w:color w:val="000000" w:themeColor="text1"/>
        </w:rPr>
        <w:t xml:space="preserve"> du GT, sur </w:t>
      </w:r>
      <w:r w:rsidR="006B1A1F" w:rsidRPr="00A02EDE">
        <w:rPr>
          <w:color w:val="000000" w:themeColor="text1"/>
        </w:rPr>
        <w:t xml:space="preserve">ces </w:t>
      </w:r>
      <w:r w:rsidRPr="00A02EDE">
        <w:rPr>
          <w:color w:val="000000" w:themeColor="text1"/>
        </w:rPr>
        <w:t xml:space="preserve">64 </w:t>
      </w:r>
      <w:r w:rsidR="006B1A1F" w:rsidRPr="00A02EDE">
        <w:rPr>
          <w:color w:val="000000" w:themeColor="text1"/>
        </w:rPr>
        <w:t xml:space="preserve">cas, 19 </w:t>
      </w:r>
      <w:r w:rsidRPr="00A02EDE">
        <w:rPr>
          <w:color w:val="000000" w:themeColor="text1"/>
        </w:rPr>
        <w:t xml:space="preserve">ont été revus à la hausse. </w:t>
      </w:r>
      <w:r w:rsidR="006B1A1F" w:rsidRPr="00A02EDE">
        <w:rPr>
          <w:color w:val="000000" w:themeColor="text1"/>
        </w:rPr>
        <w:t xml:space="preserve">30 cas </w:t>
      </w:r>
      <w:r w:rsidR="00FF56B4" w:rsidRPr="00A02EDE">
        <w:rPr>
          <w:color w:val="000000" w:themeColor="text1"/>
        </w:rPr>
        <w:t xml:space="preserve">vont être réexaminés </w:t>
      </w:r>
      <w:r w:rsidR="006B1A1F" w:rsidRPr="00A02EDE">
        <w:rPr>
          <w:color w:val="000000" w:themeColor="text1"/>
        </w:rPr>
        <w:t xml:space="preserve">en CAPA. </w:t>
      </w:r>
      <w:r w:rsidR="00FF56B4" w:rsidRPr="00A02EDE">
        <w:rPr>
          <w:color w:val="000000" w:themeColor="text1"/>
        </w:rPr>
        <w:t>De ce point de vue, n</w:t>
      </w:r>
      <w:r w:rsidR="006B1A1F" w:rsidRPr="00A02EDE">
        <w:rPr>
          <w:color w:val="000000" w:themeColor="text1"/>
        </w:rPr>
        <w:t xml:space="preserve">ous pouvons souligner </w:t>
      </w:r>
      <w:r w:rsidR="00FF56B4" w:rsidRPr="00A02EDE">
        <w:rPr>
          <w:color w:val="000000" w:themeColor="text1"/>
        </w:rPr>
        <w:t>l’utilité de notre travail et</w:t>
      </w:r>
      <w:r w:rsidR="006B1A1F" w:rsidRPr="00A02EDE">
        <w:rPr>
          <w:color w:val="000000" w:themeColor="text1"/>
        </w:rPr>
        <w:t xml:space="preserve"> le bien fondé des GT et CAPA. </w:t>
      </w:r>
    </w:p>
    <w:p w14:paraId="1AD479D9" w14:textId="0AB356C3" w:rsidR="006B1A1F" w:rsidRPr="00A02EDE" w:rsidRDefault="006B1A1F" w:rsidP="00A03C83">
      <w:pPr>
        <w:jc w:val="both"/>
        <w:rPr>
          <w:color w:val="000000" w:themeColor="text1"/>
        </w:rPr>
      </w:pPr>
      <w:r w:rsidRPr="00A02EDE">
        <w:rPr>
          <w:color w:val="000000" w:themeColor="text1"/>
        </w:rPr>
        <w:t>Par ailleurs, n</w:t>
      </w:r>
      <w:r w:rsidR="00BA71DA" w:rsidRPr="00A02EDE">
        <w:rPr>
          <w:color w:val="000000" w:themeColor="text1"/>
        </w:rPr>
        <w:t xml:space="preserve">ous pouvons constater que dans certaines disciplines, </w:t>
      </w:r>
      <w:r w:rsidR="00FF56B4" w:rsidRPr="00A02EDE">
        <w:rPr>
          <w:color w:val="000000" w:themeColor="text1"/>
        </w:rPr>
        <w:t>aucun</w:t>
      </w:r>
      <w:r w:rsidR="00BA71DA" w:rsidRPr="00A02EDE">
        <w:rPr>
          <w:color w:val="000000" w:themeColor="text1"/>
        </w:rPr>
        <w:t xml:space="preserve"> recours</w:t>
      </w:r>
      <w:r w:rsidR="00FF56B4" w:rsidRPr="00A02EDE">
        <w:rPr>
          <w:color w:val="000000" w:themeColor="text1"/>
        </w:rPr>
        <w:t xml:space="preserve"> n’a été formulé</w:t>
      </w:r>
      <w:r w:rsidR="00D012E5" w:rsidRPr="00A02EDE">
        <w:rPr>
          <w:color w:val="000000" w:themeColor="text1"/>
        </w:rPr>
        <w:t xml:space="preserve">. </w:t>
      </w:r>
      <w:r w:rsidRPr="00A02EDE">
        <w:rPr>
          <w:color w:val="000000" w:themeColor="text1"/>
        </w:rPr>
        <w:t xml:space="preserve">Comment l’expliquer ? </w:t>
      </w:r>
      <w:r w:rsidR="006F57AA" w:rsidRPr="00A02EDE">
        <w:rPr>
          <w:color w:val="000000" w:themeColor="text1"/>
        </w:rPr>
        <w:t xml:space="preserve"> </w:t>
      </w:r>
    </w:p>
    <w:p w14:paraId="378AD8D0" w14:textId="64AB4F29" w:rsidR="00BA71DA" w:rsidRPr="00A02EDE" w:rsidRDefault="006F57AA" w:rsidP="00A03C83">
      <w:pPr>
        <w:jc w:val="both"/>
        <w:rPr>
          <w:color w:val="000000" w:themeColor="text1"/>
        </w:rPr>
      </w:pPr>
      <w:r w:rsidRPr="00A02EDE">
        <w:rPr>
          <w:color w:val="000000" w:themeColor="text1"/>
        </w:rPr>
        <w:t>D’une manière générale, l</w:t>
      </w:r>
      <w:r w:rsidR="00FF56B4" w:rsidRPr="00A02EDE">
        <w:rPr>
          <w:color w:val="000000" w:themeColor="text1"/>
        </w:rPr>
        <w:t>e taux assez bas de recours formulés</w:t>
      </w:r>
      <w:r w:rsidR="00C12CEC" w:rsidRPr="00A02EDE">
        <w:rPr>
          <w:color w:val="000000" w:themeColor="text1"/>
        </w:rPr>
        <w:t xml:space="preserve"> </w:t>
      </w:r>
      <w:r w:rsidR="00FF56B4" w:rsidRPr="00A02EDE">
        <w:rPr>
          <w:color w:val="000000" w:themeColor="text1"/>
        </w:rPr>
        <w:t>s’explique moins par la méconnaissance de la procédure</w:t>
      </w:r>
      <w:r w:rsidRPr="00A02EDE">
        <w:rPr>
          <w:color w:val="000000" w:themeColor="text1"/>
        </w:rPr>
        <w:t xml:space="preserve"> que par</w:t>
      </w:r>
      <w:r w:rsidR="00D012E5" w:rsidRPr="00A02EDE">
        <w:rPr>
          <w:color w:val="000000" w:themeColor="text1"/>
        </w:rPr>
        <w:t xml:space="preserve"> un sentiment général de découragement</w:t>
      </w:r>
      <w:r w:rsidR="00C12CEC" w:rsidRPr="00A02EDE">
        <w:rPr>
          <w:color w:val="000000" w:themeColor="text1"/>
        </w:rPr>
        <w:t xml:space="preserve"> des collègues</w:t>
      </w:r>
      <w:r w:rsidR="006B1A1F" w:rsidRPr="00A02EDE">
        <w:rPr>
          <w:color w:val="000000" w:themeColor="text1"/>
        </w:rPr>
        <w:t>,</w:t>
      </w:r>
      <w:r w:rsidR="00D012E5" w:rsidRPr="00A02EDE">
        <w:rPr>
          <w:color w:val="000000" w:themeColor="text1"/>
        </w:rPr>
        <w:t xml:space="preserve"> qui n’attendent pas grand-chose de cette démarche </w:t>
      </w:r>
      <w:r w:rsidRPr="00A02EDE">
        <w:rPr>
          <w:color w:val="000000" w:themeColor="text1"/>
        </w:rPr>
        <w:t>et encore moins</w:t>
      </w:r>
      <w:r w:rsidR="00D2105B" w:rsidRPr="00A02EDE">
        <w:rPr>
          <w:color w:val="000000" w:themeColor="text1"/>
        </w:rPr>
        <w:t xml:space="preserve"> </w:t>
      </w:r>
      <w:r w:rsidR="00427F9A">
        <w:rPr>
          <w:color w:val="000000" w:themeColor="text1"/>
        </w:rPr>
        <w:t xml:space="preserve">de la </w:t>
      </w:r>
      <w:r w:rsidR="00D012E5" w:rsidRPr="00A02EDE">
        <w:rPr>
          <w:color w:val="000000" w:themeColor="text1"/>
        </w:rPr>
        <w:t>reconnaissance de l’institution</w:t>
      </w:r>
      <w:r w:rsidR="00A02EDE">
        <w:rPr>
          <w:color w:val="000000" w:themeColor="text1"/>
        </w:rPr>
        <w:t xml:space="preserve">. </w:t>
      </w:r>
      <w:r w:rsidR="00D012E5" w:rsidRPr="00A02EDE">
        <w:rPr>
          <w:color w:val="000000" w:themeColor="text1"/>
        </w:rPr>
        <w:t xml:space="preserve"> </w:t>
      </w:r>
      <w:r w:rsidRPr="00A02EDE">
        <w:rPr>
          <w:color w:val="000000" w:themeColor="text1"/>
        </w:rPr>
        <w:t xml:space="preserve"> </w:t>
      </w:r>
    </w:p>
    <w:p w14:paraId="191FC770" w14:textId="128139E3" w:rsidR="004E78F4" w:rsidRPr="00A02EDE" w:rsidRDefault="004E78F4" w:rsidP="00A03C83">
      <w:pPr>
        <w:jc w:val="both"/>
        <w:rPr>
          <w:color w:val="000000" w:themeColor="text1"/>
        </w:rPr>
      </w:pPr>
      <w:r w:rsidRPr="00A02EDE">
        <w:rPr>
          <w:color w:val="000000" w:themeColor="text1"/>
        </w:rPr>
        <w:t>Que l’on soit contre le PPCR,</w:t>
      </w:r>
      <w:r w:rsidR="006F57AA" w:rsidRPr="00A02EDE">
        <w:rPr>
          <w:color w:val="000000" w:themeColor="text1"/>
        </w:rPr>
        <w:t xml:space="preserve"> qu’on en ait été le défenseur ardent et qu’on ait voté pour au CTM,</w:t>
      </w:r>
      <w:r w:rsidRPr="00A02EDE">
        <w:rPr>
          <w:color w:val="000000" w:themeColor="text1"/>
        </w:rPr>
        <w:t xml:space="preserve"> force est de constater que ce système d’évaluation n’est pas lisible pour les</w:t>
      </w:r>
      <w:r w:rsidR="006F57AA" w:rsidRPr="00A02EDE">
        <w:rPr>
          <w:color w:val="000000" w:themeColor="text1"/>
        </w:rPr>
        <w:t xml:space="preserve"> premiers intéressés, c’est-à-dire les</w:t>
      </w:r>
      <w:r w:rsidRPr="00A02EDE">
        <w:rPr>
          <w:color w:val="000000" w:themeColor="text1"/>
        </w:rPr>
        <w:t xml:space="preserve"> évalués. </w:t>
      </w:r>
    </w:p>
    <w:p w14:paraId="7F235B83" w14:textId="08C7AC58" w:rsidR="004E78F4" w:rsidRPr="00A02EDE" w:rsidRDefault="004E78F4" w:rsidP="00A03C83">
      <w:pPr>
        <w:jc w:val="both"/>
        <w:rPr>
          <w:color w:val="000000" w:themeColor="text1"/>
        </w:rPr>
      </w:pPr>
      <w:r w:rsidRPr="00A02EDE">
        <w:rPr>
          <w:b/>
          <w:bCs/>
          <w:color w:val="000000" w:themeColor="text1"/>
        </w:rPr>
        <w:t>Nous</w:t>
      </w:r>
      <w:r w:rsidR="00A02EDE">
        <w:rPr>
          <w:b/>
          <w:bCs/>
          <w:color w:val="000000" w:themeColor="text1"/>
        </w:rPr>
        <w:t>,</w:t>
      </w:r>
      <w:r w:rsidR="006F57AA" w:rsidRPr="00A02EDE">
        <w:rPr>
          <w:b/>
          <w:bCs/>
          <w:color w:val="000000" w:themeColor="text1"/>
        </w:rPr>
        <w:t xml:space="preserve"> leurs représentants élus et leurs défenseurs, </w:t>
      </w:r>
      <w:r w:rsidRPr="00A02EDE">
        <w:rPr>
          <w:b/>
          <w:bCs/>
          <w:color w:val="000000" w:themeColor="text1"/>
        </w:rPr>
        <w:t>ne sommes pas en capacité de leur en expliquer la logique</w:t>
      </w:r>
      <w:r w:rsidRPr="00A02EDE">
        <w:rPr>
          <w:color w:val="000000" w:themeColor="text1"/>
        </w:rPr>
        <w:t>.</w:t>
      </w:r>
      <w:r w:rsidR="007528A2" w:rsidRPr="00A02EDE">
        <w:rPr>
          <w:color w:val="000000" w:themeColor="text1"/>
        </w:rPr>
        <w:t xml:space="preserve"> </w:t>
      </w:r>
      <w:r w:rsidRPr="00A02EDE">
        <w:rPr>
          <w:color w:val="000000" w:themeColor="text1"/>
        </w:rPr>
        <w:t xml:space="preserve">Or </w:t>
      </w:r>
      <w:r w:rsidR="006F57AA" w:rsidRPr="00A02EDE">
        <w:rPr>
          <w:color w:val="000000" w:themeColor="text1"/>
        </w:rPr>
        <w:t>tout professeur sait que pour que son</w:t>
      </w:r>
      <w:r w:rsidRPr="00A02EDE">
        <w:rPr>
          <w:color w:val="000000" w:themeColor="text1"/>
        </w:rPr>
        <w:t xml:space="preserve"> </w:t>
      </w:r>
      <w:r w:rsidR="00BB5055" w:rsidRPr="00A02EDE">
        <w:rPr>
          <w:color w:val="000000" w:themeColor="text1"/>
        </w:rPr>
        <w:t>évaluation</w:t>
      </w:r>
      <w:r w:rsidRPr="00A02EDE">
        <w:rPr>
          <w:color w:val="000000" w:themeColor="text1"/>
        </w:rPr>
        <w:t xml:space="preserve"> soit acceptée, il faut qu’elle soit juste, logique et </w:t>
      </w:r>
      <w:r w:rsidR="006F57AA" w:rsidRPr="00A02EDE">
        <w:rPr>
          <w:color w:val="000000" w:themeColor="text1"/>
        </w:rPr>
        <w:t>intelligible</w:t>
      </w:r>
      <w:r w:rsidRPr="00A02EDE">
        <w:rPr>
          <w:color w:val="000000" w:themeColor="text1"/>
        </w:rPr>
        <w:t xml:space="preserve">. </w:t>
      </w:r>
    </w:p>
    <w:p w14:paraId="1E05C2B4" w14:textId="37FCE4B4" w:rsidR="004E78F4" w:rsidRPr="00A02EDE" w:rsidRDefault="005228F3" w:rsidP="00A03C83">
      <w:pPr>
        <w:jc w:val="both"/>
        <w:rPr>
          <w:color w:val="000000" w:themeColor="text1"/>
        </w:rPr>
      </w:pPr>
      <w:r w:rsidRPr="00A02EDE">
        <w:rPr>
          <w:color w:val="000000" w:themeColor="text1"/>
        </w:rPr>
        <w:t xml:space="preserve">Quand nous constatons </w:t>
      </w:r>
      <w:r w:rsidR="006F57AA" w:rsidRPr="00A02EDE">
        <w:rPr>
          <w:color w:val="000000" w:themeColor="text1"/>
        </w:rPr>
        <w:t xml:space="preserve">un écart, </w:t>
      </w:r>
      <w:r w:rsidRPr="00A02EDE">
        <w:rPr>
          <w:color w:val="000000" w:themeColor="text1"/>
        </w:rPr>
        <w:t xml:space="preserve">une </w:t>
      </w:r>
      <w:r w:rsidR="006F57AA" w:rsidRPr="00A02EDE">
        <w:rPr>
          <w:color w:val="000000" w:themeColor="text1"/>
        </w:rPr>
        <w:t>in</w:t>
      </w:r>
      <w:r w:rsidRPr="00A02EDE">
        <w:rPr>
          <w:color w:val="000000" w:themeColor="text1"/>
        </w:rPr>
        <w:t xml:space="preserve">cohérence, </w:t>
      </w:r>
      <w:r w:rsidR="004E78F4" w:rsidRPr="00A02EDE">
        <w:rPr>
          <w:color w:val="000000" w:themeColor="text1"/>
        </w:rPr>
        <w:t xml:space="preserve">et même </w:t>
      </w:r>
      <w:r w:rsidRPr="00A02EDE">
        <w:rPr>
          <w:color w:val="000000" w:themeColor="text1"/>
        </w:rPr>
        <w:t>un</w:t>
      </w:r>
      <w:r w:rsidR="004E78F4" w:rsidRPr="00A02EDE">
        <w:rPr>
          <w:color w:val="000000" w:themeColor="text1"/>
        </w:rPr>
        <w:t xml:space="preserve"> </w:t>
      </w:r>
      <w:r w:rsidR="0072663F" w:rsidRPr="00A02EDE">
        <w:rPr>
          <w:color w:val="000000" w:themeColor="text1"/>
        </w:rPr>
        <w:t xml:space="preserve">paradoxe </w:t>
      </w:r>
      <w:r w:rsidR="006F57AA" w:rsidRPr="00A02EDE">
        <w:rPr>
          <w:color w:val="000000" w:themeColor="text1"/>
        </w:rPr>
        <w:t xml:space="preserve">criant </w:t>
      </w:r>
      <w:r w:rsidR="0072663F" w:rsidRPr="00A02EDE">
        <w:rPr>
          <w:color w:val="000000" w:themeColor="text1"/>
        </w:rPr>
        <w:t>entre les item</w:t>
      </w:r>
      <w:r w:rsidR="007528A2" w:rsidRPr="00A02EDE">
        <w:rPr>
          <w:color w:val="000000" w:themeColor="text1"/>
        </w:rPr>
        <w:t>s</w:t>
      </w:r>
      <w:r w:rsidR="004E78F4" w:rsidRPr="00A02EDE">
        <w:rPr>
          <w:color w:val="000000" w:themeColor="text1"/>
        </w:rPr>
        <w:t xml:space="preserve"> évalués positivement ou très positivement et l’appréciation finale dégradée</w:t>
      </w:r>
      <w:r w:rsidRPr="00A02EDE">
        <w:rPr>
          <w:color w:val="000000" w:themeColor="text1"/>
        </w:rPr>
        <w:t xml:space="preserve">, </w:t>
      </w:r>
      <w:r w:rsidR="006F57AA" w:rsidRPr="00A02EDE">
        <w:rPr>
          <w:color w:val="000000" w:themeColor="text1"/>
        </w:rPr>
        <w:t>quelle raison en donner</w:t>
      </w:r>
      <w:r w:rsidRPr="00A02EDE">
        <w:rPr>
          <w:color w:val="000000" w:themeColor="text1"/>
        </w:rPr>
        <w:t xml:space="preserve"> aux collègues concernés</w:t>
      </w:r>
      <w:r w:rsidR="00BB5055" w:rsidRPr="00A02EDE">
        <w:rPr>
          <w:color w:val="000000" w:themeColor="text1"/>
        </w:rPr>
        <w:t> ?</w:t>
      </w:r>
      <w:r w:rsidR="004E78F4" w:rsidRPr="00A02EDE">
        <w:rPr>
          <w:color w:val="000000" w:themeColor="text1"/>
        </w:rPr>
        <w:t xml:space="preserve"> </w:t>
      </w:r>
    </w:p>
    <w:p w14:paraId="5E69AB69" w14:textId="6E5E7CE5" w:rsidR="002440FB" w:rsidRPr="00A02EDE" w:rsidRDefault="004E78F4" w:rsidP="00A03C83">
      <w:pPr>
        <w:jc w:val="both"/>
        <w:rPr>
          <w:color w:val="000000" w:themeColor="text1"/>
        </w:rPr>
      </w:pPr>
      <w:r w:rsidRPr="00A02EDE">
        <w:rPr>
          <w:b/>
          <w:bCs/>
          <w:color w:val="000000" w:themeColor="text1"/>
        </w:rPr>
        <w:t xml:space="preserve">D’ailleurs, il </w:t>
      </w:r>
      <w:r w:rsidR="006F57AA" w:rsidRPr="00A02EDE">
        <w:rPr>
          <w:b/>
          <w:bCs/>
          <w:color w:val="000000" w:themeColor="text1"/>
        </w:rPr>
        <w:t xml:space="preserve">n’est pas normal </w:t>
      </w:r>
      <w:r w:rsidRPr="00A02EDE">
        <w:rPr>
          <w:b/>
          <w:bCs/>
          <w:color w:val="000000" w:themeColor="text1"/>
        </w:rPr>
        <w:t xml:space="preserve">de </w:t>
      </w:r>
      <w:r w:rsidR="006F57AA" w:rsidRPr="00A02EDE">
        <w:rPr>
          <w:b/>
          <w:bCs/>
          <w:color w:val="000000" w:themeColor="text1"/>
        </w:rPr>
        <w:t xml:space="preserve">nous voir privés de </w:t>
      </w:r>
      <w:r w:rsidRPr="00A02EDE">
        <w:rPr>
          <w:b/>
          <w:bCs/>
          <w:color w:val="000000" w:themeColor="text1"/>
        </w:rPr>
        <w:t xml:space="preserve">revenir sur </w:t>
      </w:r>
      <w:r w:rsidR="005228F3" w:rsidRPr="00A02EDE">
        <w:rPr>
          <w:b/>
          <w:bCs/>
          <w:color w:val="000000" w:themeColor="text1"/>
        </w:rPr>
        <w:t>l’appréciation donnée à ces item</w:t>
      </w:r>
      <w:r w:rsidR="00D012E5" w:rsidRPr="00A02EDE">
        <w:rPr>
          <w:b/>
          <w:bCs/>
          <w:color w:val="000000" w:themeColor="text1"/>
        </w:rPr>
        <w:t>s</w:t>
      </w:r>
      <w:r w:rsidRPr="00A02EDE">
        <w:rPr>
          <w:color w:val="000000" w:themeColor="text1"/>
        </w:rPr>
        <w:t xml:space="preserve">. </w:t>
      </w:r>
      <w:r w:rsidR="002440FB" w:rsidRPr="00A02EDE">
        <w:rPr>
          <w:color w:val="000000" w:themeColor="text1"/>
        </w:rPr>
        <w:t xml:space="preserve"> </w:t>
      </w:r>
    </w:p>
    <w:p w14:paraId="5E0B4510" w14:textId="026A02DF" w:rsidR="004E78F4" w:rsidRPr="00A02EDE" w:rsidRDefault="006F57AA" w:rsidP="00A03C83">
      <w:pPr>
        <w:jc w:val="both"/>
        <w:rPr>
          <w:color w:val="000000" w:themeColor="text1"/>
        </w:rPr>
      </w:pPr>
      <w:r w:rsidRPr="00A02EDE">
        <w:rPr>
          <w:color w:val="000000" w:themeColor="text1"/>
        </w:rPr>
        <w:t xml:space="preserve">Du temps </w:t>
      </w:r>
      <w:r w:rsidR="004E78F4" w:rsidRPr="00A02EDE">
        <w:rPr>
          <w:color w:val="000000" w:themeColor="text1"/>
        </w:rPr>
        <w:t xml:space="preserve">des recours </w:t>
      </w:r>
      <w:r w:rsidRPr="00A02EDE">
        <w:rPr>
          <w:color w:val="000000" w:themeColor="text1"/>
        </w:rPr>
        <w:t>concer</w:t>
      </w:r>
      <w:r w:rsidR="002440FB" w:rsidRPr="00A02EDE">
        <w:rPr>
          <w:color w:val="000000" w:themeColor="text1"/>
        </w:rPr>
        <w:t>n</w:t>
      </w:r>
      <w:r w:rsidRPr="00A02EDE">
        <w:rPr>
          <w:color w:val="000000" w:themeColor="text1"/>
        </w:rPr>
        <w:t xml:space="preserve">ant la </w:t>
      </w:r>
      <w:r w:rsidR="004E78F4" w:rsidRPr="00A02EDE">
        <w:rPr>
          <w:color w:val="000000" w:themeColor="text1"/>
        </w:rPr>
        <w:t>notation administrative</w:t>
      </w:r>
      <w:r w:rsidRPr="00A02EDE">
        <w:rPr>
          <w:color w:val="000000" w:themeColor="text1"/>
        </w:rPr>
        <w:t xml:space="preserve"> il était possible de revenir sur les observations des collègues quand elles n’étaient pas</w:t>
      </w:r>
      <w:r w:rsidR="00D2105B" w:rsidRPr="00A02EDE">
        <w:rPr>
          <w:color w:val="000000" w:themeColor="text1"/>
        </w:rPr>
        <w:t xml:space="preserve"> </w:t>
      </w:r>
      <w:r w:rsidR="002440FB" w:rsidRPr="00A02EDE">
        <w:rPr>
          <w:color w:val="000000" w:themeColor="text1"/>
        </w:rPr>
        <w:t xml:space="preserve">prises en compte. Cela </w:t>
      </w:r>
      <w:r w:rsidR="004E78F4" w:rsidRPr="00A02EDE">
        <w:rPr>
          <w:color w:val="000000" w:themeColor="text1"/>
        </w:rPr>
        <w:t xml:space="preserve">ne l’est plus avec le PPCR. </w:t>
      </w:r>
    </w:p>
    <w:p w14:paraId="71655033" w14:textId="6853D4BE" w:rsidR="004E78F4" w:rsidRPr="00A02EDE" w:rsidRDefault="002440FB" w:rsidP="00A03C83">
      <w:pPr>
        <w:jc w:val="both"/>
        <w:rPr>
          <w:color w:val="000000" w:themeColor="text1"/>
        </w:rPr>
      </w:pPr>
      <w:r w:rsidRPr="00A02EDE">
        <w:rPr>
          <w:color w:val="000000" w:themeColor="text1"/>
        </w:rPr>
        <w:t>La position du SNALC est que l</w:t>
      </w:r>
      <w:r w:rsidR="004E78F4" w:rsidRPr="00A02EDE">
        <w:rPr>
          <w:color w:val="000000" w:themeColor="text1"/>
        </w:rPr>
        <w:t>es collègues qui se consacrent à leur métier d’une manière exceptionnelle et bénéficient d’un avis EXCELLENT</w:t>
      </w:r>
      <w:r w:rsidR="0072663F" w:rsidRPr="00A02EDE">
        <w:rPr>
          <w:color w:val="000000" w:themeColor="text1"/>
        </w:rPr>
        <w:t xml:space="preserve"> pour la totalité des item</w:t>
      </w:r>
      <w:r w:rsidR="006476AF" w:rsidRPr="00A02EDE">
        <w:rPr>
          <w:color w:val="000000" w:themeColor="text1"/>
        </w:rPr>
        <w:t>s</w:t>
      </w:r>
      <w:r w:rsidR="004E78F4" w:rsidRPr="00A02EDE">
        <w:rPr>
          <w:color w:val="000000" w:themeColor="text1"/>
        </w:rPr>
        <w:t xml:space="preserve"> de l’évaluation doivent se voi</w:t>
      </w:r>
      <w:r w:rsidR="0072663F" w:rsidRPr="00A02EDE">
        <w:rPr>
          <w:color w:val="000000" w:themeColor="text1"/>
        </w:rPr>
        <w:t>r</w:t>
      </w:r>
      <w:r w:rsidR="004E78F4" w:rsidRPr="00A02EDE">
        <w:rPr>
          <w:color w:val="000000" w:themeColor="text1"/>
        </w:rPr>
        <w:t xml:space="preserve"> attribuer comme avis final EXCELLENT</w:t>
      </w:r>
      <w:r w:rsidR="007528A2" w:rsidRPr="00A02EDE">
        <w:rPr>
          <w:color w:val="000000" w:themeColor="text1"/>
        </w:rPr>
        <w:t xml:space="preserve"> qu’ils soient dans </w:t>
      </w:r>
      <w:r w:rsidRPr="00A02EDE">
        <w:rPr>
          <w:color w:val="000000" w:themeColor="text1"/>
        </w:rPr>
        <w:t xml:space="preserve">le secondaire comme dans </w:t>
      </w:r>
      <w:r w:rsidR="007528A2" w:rsidRPr="00A02EDE">
        <w:rPr>
          <w:color w:val="000000" w:themeColor="text1"/>
        </w:rPr>
        <w:t xml:space="preserve">le supérieur </w:t>
      </w:r>
      <w:r w:rsidRPr="00A02EDE">
        <w:rPr>
          <w:color w:val="000000" w:themeColor="text1"/>
        </w:rPr>
        <w:t xml:space="preserve"> </w:t>
      </w:r>
    </w:p>
    <w:p w14:paraId="56C2A91D" w14:textId="76B43ADB" w:rsidR="006631F1" w:rsidRPr="00A02EDE" w:rsidRDefault="006631F1" w:rsidP="00A03C83">
      <w:pPr>
        <w:jc w:val="both"/>
        <w:rPr>
          <w:color w:val="000000" w:themeColor="text1"/>
        </w:rPr>
      </w:pPr>
      <w:r w:rsidRPr="00A02EDE">
        <w:rPr>
          <w:color w:val="000000" w:themeColor="text1"/>
        </w:rPr>
        <w:t xml:space="preserve">Les professeurs qui bénéficient d’avis EXC et TS avec une nette majorité d’avis </w:t>
      </w:r>
      <w:r w:rsidR="00AA1249" w:rsidRPr="00A02EDE">
        <w:rPr>
          <w:color w:val="000000" w:themeColor="text1"/>
        </w:rPr>
        <w:t>EXC</w:t>
      </w:r>
      <w:r w:rsidRPr="00A02EDE">
        <w:rPr>
          <w:color w:val="000000" w:themeColor="text1"/>
        </w:rPr>
        <w:t xml:space="preserve"> </w:t>
      </w:r>
      <w:r w:rsidR="007528A2" w:rsidRPr="00A02EDE">
        <w:rPr>
          <w:color w:val="000000" w:themeColor="text1"/>
        </w:rPr>
        <w:t xml:space="preserve">ou avec 1 seul </w:t>
      </w:r>
      <w:r w:rsidR="002440FB" w:rsidRPr="00A02EDE">
        <w:rPr>
          <w:color w:val="000000" w:themeColor="text1"/>
        </w:rPr>
        <w:t>S</w:t>
      </w:r>
      <w:r w:rsidR="007528A2" w:rsidRPr="00A02EDE">
        <w:rPr>
          <w:color w:val="000000" w:themeColor="text1"/>
        </w:rPr>
        <w:t xml:space="preserve">atisfaisant </w:t>
      </w:r>
      <w:r w:rsidRPr="00A02EDE">
        <w:rPr>
          <w:color w:val="000000" w:themeColor="text1"/>
        </w:rPr>
        <w:t>doivent obtenir un avis final EXC</w:t>
      </w:r>
      <w:r w:rsidR="007528A2" w:rsidRPr="00A02EDE">
        <w:rPr>
          <w:color w:val="000000" w:themeColor="text1"/>
        </w:rPr>
        <w:t xml:space="preserve"> d’autant plu</w:t>
      </w:r>
      <w:r w:rsidR="002440FB" w:rsidRPr="00A02EDE">
        <w:rPr>
          <w:color w:val="000000" w:themeColor="text1"/>
        </w:rPr>
        <w:t xml:space="preserve">s qu’ils présentent dans leur recours de solides arguments </w:t>
      </w:r>
      <w:r w:rsidR="007528A2" w:rsidRPr="00A02EDE">
        <w:rPr>
          <w:color w:val="000000" w:themeColor="text1"/>
        </w:rPr>
        <w:t xml:space="preserve">pour modifier </w:t>
      </w:r>
      <w:r w:rsidR="002440FB" w:rsidRPr="00A02EDE">
        <w:rPr>
          <w:color w:val="000000" w:themeColor="text1"/>
        </w:rPr>
        <w:t>cet item</w:t>
      </w:r>
      <w:r w:rsidR="00C12CEC" w:rsidRPr="00A02EDE">
        <w:rPr>
          <w:color w:val="000000" w:themeColor="text1"/>
        </w:rPr>
        <w:t>.</w:t>
      </w:r>
    </w:p>
    <w:p w14:paraId="6E0565A5" w14:textId="7BFBB447" w:rsidR="00AA1249" w:rsidRPr="00A02EDE" w:rsidRDefault="002440FB" w:rsidP="00A03C83">
      <w:pPr>
        <w:jc w:val="both"/>
        <w:rPr>
          <w:b/>
          <w:bCs/>
          <w:color w:val="000000" w:themeColor="text1"/>
        </w:rPr>
      </w:pPr>
      <w:r w:rsidRPr="00A02EDE">
        <w:rPr>
          <w:color w:val="000000" w:themeColor="text1"/>
        </w:rPr>
        <w:t>Nous r</w:t>
      </w:r>
      <w:r w:rsidR="00AA1249" w:rsidRPr="00A02EDE">
        <w:rPr>
          <w:color w:val="000000" w:themeColor="text1"/>
        </w:rPr>
        <w:t xml:space="preserve">appelons </w:t>
      </w:r>
      <w:r w:rsidR="00BB5055" w:rsidRPr="00A02EDE">
        <w:rPr>
          <w:color w:val="000000" w:themeColor="text1"/>
        </w:rPr>
        <w:t>que pour le troisième rendez-vous de carrière</w:t>
      </w:r>
      <w:r w:rsidR="00A03C83" w:rsidRPr="00A02EDE">
        <w:rPr>
          <w:color w:val="000000" w:themeColor="text1"/>
        </w:rPr>
        <w:t>,</w:t>
      </w:r>
      <w:r w:rsidR="00BB5055" w:rsidRPr="00A02EDE">
        <w:rPr>
          <w:color w:val="000000" w:themeColor="text1"/>
        </w:rPr>
        <w:t xml:space="preserve"> </w:t>
      </w:r>
      <w:r w:rsidR="00BB5055" w:rsidRPr="00A02EDE">
        <w:rPr>
          <w:b/>
          <w:bCs/>
          <w:color w:val="000000" w:themeColor="text1"/>
        </w:rPr>
        <w:t>l’évaluation</w:t>
      </w:r>
      <w:r w:rsidR="00AA1249" w:rsidRPr="00A02EDE">
        <w:rPr>
          <w:b/>
          <w:bCs/>
          <w:color w:val="000000" w:themeColor="text1"/>
        </w:rPr>
        <w:t xml:space="preserve"> </w:t>
      </w:r>
      <w:r w:rsidR="00BB5055" w:rsidRPr="00A02EDE">
        <w:rPr>
          <w:b/>
          <w:bCs/>
          <w:color w:val="000000" w:themeColor="text1"/>
        </w:rPr>
        <w:t>porte</w:t>
      </w:r>
      <w:r w:rsidR="00AA1249" w:rsidRPr="00A02EDE">
        <w:rPr>
          <w:b/>
          <w:bCs/>
          <w:color w:val="000000" w:themeColor="text1"/>
        </w:rPr>
        <w:t xml:space="preserve"> </w:t>
      </w:r>
      <w:r w:rsidR="00BB5055" w:rsidRPr="00A02EDE">
        <w:rPr>
          <w:b/>
          <w:bCs/>
          <w:color w:val="000000" w:themeColor="text1"/>
        </w:rPr>
        <w:t xml:space="preserve">sur plusieurs </w:t>
      </w:r>
      <w:r w:rsidR="00AA1249" w:rsidRPr="00A02EDE">
        <w:rPr>
          <w:b/>
          <w:bCs/>
          <w:color w:val="000000" w:themeColor="text1"/>
        </w:rPr>
        <w:t xml:space="preserve">années </w:t>
      </w:r>
      <w:r w:rsidR="00BB5055" w:rsidRPr="00A02EDE">
        <w:rPr>
          <w:b/>
          <w:bCs/>
          <w:color w:val="000000" w:themeColor="text1"/>
        </w:rPr>
        <w:t>de</w:t>
      </w:r>
      <w:r w:rsidR="00AA1249" w:rsidRPr="00A02EDE">
        <w:rPr>
          <w:b/>
          <w:bCs/>
          <w:color w:val="000000" w:themeColor="text1"/>
        </w:rPr>
        <w:t xml:space="preserve"> carrière </w:t>
      </w:r>
      <w:r w:rsidR="0072663F" w:rsidRPr="00A02EDE">
        <w:rPr>
          <w:b/>
          <w:bCs/>
          <w:color w:val="000000" w:themeColor="text1"/>
        </w:rPr>
        <w:t xml:space="preserve">et non uniquement </w:t>
      </w:r>
      <w:r w:rsidR="00BB5055" w:rsidRPr="00A02EDE">
        <w:rPr>
          <w:b/>
          <w:bCs/>
          <w:color w:val="000000" w:themeColor="text1"/>
        </w:rPr>
        <w:t xml:space="preserve">sur </w:t>
      </w:r>
      <w:r w:rsidR="0072663F" w:rsidRPr="00A02EDE">
        <w:rPr>
          <w:b/>
          <w:bCs/>
          <w:color w:val="000000" w:themeColor="text1"/>
        </w:rPr>
        <w:t>l’année en cours</w:t>
      </w:r>
      <w:r w:rsidR="00BB5055" w:rsidRPr="00A02EDE">
        <w:rPr>
          <w:color w:val="000000" w:themeColor="text1"/>
        </w:rPr>
        <w:t>.</w:t>
      </w:r>
      <w:r w:rsidR="005228F3" w:rsidRPr="00A02EDE">
        <w:rPr>
          <w:color w:val="000000" w:themeColor="text1"/>
        </w:rPr>
        <w:t xml:space="preserve"> </w:t>
      </w:r>
      <w:r w:rsidR="00BB5055" w:rsidRPr="00A02EDE">
        <w:rPr>
          <w:color w:val="000000" w:themeColor="text1"/>
        </w:rPr>
        <w:t xml:space="preserve">En outre, </w:t>
      </w:r>
      <w:r w:rsidR="00A03C83" w:rsidRPr="00A02EDE">
        <w:rPr>
          <w:b/>
          <w:bCs/>
          <w:color w:val="000000" w:themeColor="text1"/>
        </w:rPr>
        <w:t xml:space="preserve">cette évaluation </w:t>
      </w:r>
      <w:r w:rsidRPr="00A02EDE">
        <w:rPr>
          <w:b/>
          <w:bCs/>
          <w:color w:val="000000" w:themeColor="text1"/>
        </w:rPr>
        <w:t>doit</w:t>
      </w:r>
      <w:r w:rsidR="00BB5055" w:rsidRPr="00A02EDE">
        <w:rPr>
          <w:b/>
          <w:bCs/>
          <w:color w:val="000000" w:themeColor="text1"/>
        </w:rPr>
        <w:t xml:space="preserve"> être conservée sous une forme immuable et conditionne l</w:t>
      </w:r>
      <w:r w:rsidR="00A03C83" w:rsidRPr="00A02EDE">
        <w:rPr>
          <w:b/>
          <w:bCs/>
          <w:color w:val="000000" w:themeColor="text1"/>
        </w:rPr>
        <w:t>a promotion à la hors-</w:t>
      </w:r>
      <w:r w:rsidR="00BB5055" w:rsidRPr="00A02EDE">
        <w:rPr>
          <w:b/>
          <w:bCs/>
          <w:color w:val="000000" w:themeColor="text1"/>
        </w:rPr>
        <w:t xml:space="preserve">classe. </w:t>
      </w:r>
    </w:p>
    <w:p w14:paraId="457EB23F" w14:textId="1A7CC061" w:rsidR="00A03C83" w:rsidRPr="00A02EDE" w:rsidRDefault="00CC1019" w:rsidP="00A03C83">
      <w:pPr>
        <w:jc w:val="both"/>
        <w:rPr>
          <w:color w:val="000000" w:themeColor="text1"/>
        </w:rPr>
      </w:pPr>
      <w:r w:rsidRPr="00A02EDE">
        <w:rPr>
          <w:color w:val="000000" w:themeColor="text1"/>
        </w:rPr>
        <w:t xml:space="preserve">Pour </w:t>
      </w:r>
      <w:r w:rsidR="007528A2" w:rsidRPr="00A02EDE">
        <w:rPr>
          <w:color w:val="000000" w:themeColor="text1"/>
        </w:rPr>
        <w:t>c</w:t>
      </w:r>
      <w:r w:rsidRPr="00A02EDE">
        <w:rPr>
          <w:color w:val="000000" w:themeColor="text1"/>
        </w:rPr>
        <w:t>e 3</w:t>
      </w:r>
      <w:r w:rsidR="006631F1" w:rsidRPr="00A02EDE">
        <w:rPr>
          <w:color w:val="000000" w:themeColor="text1"/>
        </w:rPr>
        <w:t xml:space="preserve">ème rendez-vous de carrière, les </w:t>
      </w:r>
      <w:r w:rsidR="004E78F4" w:rsidRPr="00A02EDE">
        <w:rPr>
          <w:b/>
          <w:bCs/>
          <w:color w:val="000000" w:themeColor="text1"/>
        </w:rPr>
        <w:t xml:space="preserve">quotas invoqués par l’administration et censés imposer un pourcentage intangible d’avis </w:t>
      </w:r>
      <w:r w:rsidR="00A03C83" w:rsidRPr="00A02EDE">
        <w:rPr>
          <w:b/>
          <w:bCs/>
          <w:color w:val="000000" w:themeColor="text1"/>
        </w:rPr>
        <w:t>EXC</w:t>
      </w:r>
      <w:r w:rsidR="004E78F4" w:rsidRPr="00A02EDE">
        <w:rPr>
          <w:b/>
          <w:bCs/>
          <w:color w:val="000000" w:themeColor="text1"/>
        </w:rPr>
        <w:t xml:space="preserve"> ou </w:t>
      </w:r>
      <w:r w:rsidR="00A03C83" w:rsidRPr="00A02EDE">
        <w:rPr>
          <w:b/>
          <w:bCs/>
          <w:color w:val="000000" w:themeColor="text1"/>
        </w:rPr>
        <w:t>TS</w:t>
      </w:r>
      <w:r w:rsidR="004E78F4" w:rsidRPr="00A02EDE">
        <w:rPr>
          <w:b/>
          <w:bCs/>
          <w:color w:val="000000" w:themeColor="text1"/>
        </w:rPr>
        <w:t xml:space="preserve"> n’ont pas de rôle à jouer au moment de l’examen des appréciations finales</w:t>
      </w:r>
      <w:r w:rsidR="004E78F4" w:rsidRPr="00A02EDE">
        <w:rPr>
          <w:color w:val="000000" w:themeColor="text1"/>
        </w:rPr>
        <w:t xml:space="preserve">. Pour le SNALC, ce sont tout au plus des indicateurs qui peuvent d’ailleurs évoluer </w:t>
      </w:r>
      <w:r w:rsidR="006B1A1F" w:rsidRPr="00A02EDE">
        <w:rPr>
          <w:color w:val="000000" w:themeColor="text1"/>
        </w:rPr>
        <w:t>car nous sommes toujours dans un système « en transition »</w:t>
      </w:r>
      <w:r w:rsidR="004E78F4" w:rsidRPr="00A02EDE">
        <w:rPr>
          <w:color w:val="000000" w:themeColor="text1"/>
        </w:rPr>
        <w:t>.</w:t>
      </w:r>
      <w:r w:rsidR="00A03C83" w:rsidRPr="00A02EDE">
        <w:rPr>
          <w:color w:val="000000" w:themeColor="text1"/>
        </w:rPr>
        <w:t xml:space="preserve"> </w:t>
      </w:r>
      <w:r w:rsidR="00A03C83" w:rsidRPr="00A02EDE">
        <w:rPr>
          <w:b/>
          <w:bCs/>
          <w:color w:val="000000" w:themeColor="text1"/>
        </w:rPr>
        <w:t>Il nous paraît tout à fait inconcevable d’imposer des quotas quand il s’agit d’évaluer la valeur professionnelle.</w:t>
      </w:r>
    </w:p>
    <w:p w14:paraId="436326B6" w14:textId="4DD0FC91" w:rsidR="007528A2" w:rsidRPr="00A02EDE" w:rsidRDefault="007528A2" w:rsidP="00A03C83">
      <w:pPr>
        <w:jc w:val="both"/>
        <w:rPr>
          <w:color w:val="000000" w:themeColor="text1"/>
        </w:rPr>
      </w:pPr>
    </w:p>
    <w:p w14:paraId="0F596B8F" w14:textId="3FCC9D03" w:rsidR="002440FB" w:rsidRPr="00A02EDE" w:rsidRDefault="00A02EDE" w:rsidP="00A03C8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Enfin </w:t>
      </w:r>
      <w:r w:rsidR="002440FB" w:rsidRPr="00A02EDE">
        <w:rPr>
          <w:color w:val="000000" w:themeColor="text1"/>
        </w:rPr>
        <w:t>le</w:t>
      </w:r>
      <w:r w:rsidR="007528A2" w:rsidRPr="00A02EDE">
        <w:rPr>
          <w:color w:val="000000" w:themeColor="text1"/>
        </w:rPr>
        <w:t xml:space="preserve"> peu de recours</w:t>
      </w:r>
      <w:r w:rsidR="002440FB" w:rsidRPr="00A02EDE">
        <w:rPr>
          <w:color w:val="000000" w:themeColor="text1"/>
        </w:rPr>
        <w:t>,</w:t>
      </w:r>
      <w:r w:rsidR="0080774F" w:rsidRPr="00A02EDE">
        <w:rPr>
          <w:color w:val="000000" w:themeColor="text1"/>
        </w:rPr>
        <w:t xml:space="preserve"> notamment de saisie</w:t>
      </w:r>
      <w:r w:rsidR="002440FB" w:rsidRPr="00A02EDE">
        <w:rPr>
          <w:color w:val="000000" w:themeColor="text1"/>
        </w:rPr>
        <w:t>s</w:t>
      </w:r>
      <w:r w:rsidR="0080774F" w:rsidRPr="00A02EDE">
        <w:rPr>
          <w:color w:val="000000" w:themeColor="text1"/>
        </w:rPr>
        <w:t xml:space="preserve"> de la CAPA (2.84%)</w:t>
      </w:r>
      <w:r w:rsidR="007528A2" w:rsidRPr="00A02EDE">
        <w:rPr>
          <w:color w:val="000000" w:themeColor="text1"/>
        </w:rPr>
        <w:t>, qui sont finalement à la marge et ne dépasserai</w:t>
      </w:r>
      <w:r w:rsidR="006476AF" w:rsidRPr="00A02EDE">
        <w:rPr>
          <w:color w:val="000000" w:themeColor="text1"/>
        </w:rPr>
        <w:t>en</w:t>
      </w:r>
      <w:r w:rsidR="007528A2" w:rsidRPr="00A02EDE">
        <w:rPr>
          <w:color w:val="000000" w:themeColor="text1"/>
        </w:rPr>
        <w:t xml:space="preserve">t pas outre mesure </w:t>
      </w:r>
      <w:r w:rsidR="002440FB" w:rsidRPr="00A02EDE">
        <w:rPr>
          <w:color w:val="000000" w:themeColor="text1"/>
        </w:rPr>
        <w:t>c</w:t>
      </w:r>
      <w:r w:rsidR="007528A2" w:rsidRPr="00A02EDE">
        <w:rPr>
          <w:color w:val="000000" w:themeColor="text1"/>
        </w:rPr>
        <w:t xml:space="preserve">es fameux quotas, </w:t>
      </w:r>
      <w:r w:rsidR="002440FB" w:rsidRPr="00A02EDE">
        <w:rPr>
          <w:color w:val="000000" w:themeColor="text1"/>
        </w:rPr>
        <w:t xml:space="preserve">devrait inciter à une réponse </w:t>
      </w:r>
      <w:r w:rsidR="007528A2" w:rsidRPr="00A02EDE">
        <w:rPr>
          <w:color w:val="000000" w:themeColor="text1"/>
        </w:rPr>
        <w:t>positive</w:t>
      </w:r>
      <w:r w:rsidR="002440FB" w:rsidRPr="00A02EDE">
        <w:rPr>
          <w:color w:val="000000" w:themeColor="text1"/>
        </w:rPr>
        <w:t>,</w:t>
      </w:r>
      <w:r w:rsidR="007528A2" w:rsidRPr="00A02EDE">
        <w:rPr>
          <w:color w:val="000000" w:themeColor="text1"/>
        </w:rPr>
        <w:t xml:space="preserve"> pour </w:t>
      </w:r>
      <w:r w:rsidR="002440FB" w:rsidRPr="00A02EDE">
        <w:rPr>
          <w:color w:val="000000" w:themeColor="text1"/>
        </w:rPr>
        <w:t>tous les</w:t>
      </w:r>
      <w:r w:rsidR="007528A2" w:rsidRPr="00A02EDE">
        <w:rPr>
          <w:color w:val="000000" w:themeColor="text1"/>
        </w:rPr>
        <w:t xml:space="preserve"> cas défendables</w:t>
      </w:r>
      <w:r w:rsidR="00C12CEC" w:rsidRPr="00A02EDE">
        <w:rPr>
          <w:color w:val="000000" w:themeColor="text1"/>
        </w:rPr>
        <w:t xml:space="preserve">. </w:t>
      </w:r>
    </w:p>
    <w:p w14:paraId="65762875" w14:textId="3CFEC818" w:rsidR="007528A2" w:rsidRPr="00A02EDE" w:rsidRDefault="002440FB" w:rsidP="00A03C83">
      <w:pPr>
        <w:jc w:val="both"/>
        <w:rPr>
          <w:color w:val="000000" w:themeColor="text1"/>
        </w:rPr>
      </w:pPr>
      <w:r w:rsidRPr="00A02EDE">
        <w:rPr>
          <w:color w:val="000000" w:themeColor="text1"/>
        </w:rPr>
        <w:t xml:space="preserve">Ce </w:t>
      </w:r>
      <w:r w:rsidR="007528A2" w:rsidRPr="00A02EDE">
        <w:rPr>
          <w:color w:val="000000" w:themeColor="text1"/>
        </w:rPr>
        <w:t xml:space="preserve">serait un signal encourageant pour les collègues et </w:t>
      </w:r>
      <w:r w:rsidR="00427F9A">
        <w:rPr>
          <w:color w:val="000000" w:themeColor="text1"/>
        </w:rPr>
        <w:t xml:space="preserve">cela </w:t>
      </w:r>
      <w:r w:rsidRPr="00A02EDE">
        <w:rPr>
          <w:color w:val="000000" w:themeColor="text1"/>
        </w:rPr>
        <w:t>re</w:t>
      </w:r>
      <w:r w:rsidR="007528A2" w:rsidRPr="00A02EDE">
        <w:rPr>
          <w:color w:val="000000" w:themeColor="text1"/>
        </w:rPr>
        <w:t>donner</w:t>
      </w:r>
      <w:r w:rsidRPr="00A02EDE">
        <w:rPr>
          <w:color w:val="000000" w:themeColor="text1"/>
        </w:rPr>
        <w:t>ait</w:t>
      </w:r>
      <w:r w:rsidR="007528A2" w:rsidRPr="00A02EDE">
        <w:rPr>
          <w:color w:val="000000" w:themeColor="text1"/>
        </w:rPr>
        <w:t xml:space="preserve"> toute sa place au dialogue social </w:t>
      </w:r>
      <w:r w:rsidRPr="00A02EDE">
        <w:rPr>
          <w:color w:val="000000" w:themeColor="text1"/>
        </w:rPr>
        <w:t>fort</w:t>
      </w:r>
      <w:r w:rsidR="007528A2" w:rsidRPr="00A02EDE">
        <w:rPr>
          <w:color w:val="000000" w:themeColor="text1"/>
        </w:rPr>
        <w:t xml:space="preserve"> malmené ces derniers temps.</w:t>
      </w:r>
    </w:p>
    <w:p w14:paraId="2888F780" w14:textId="77777777" w:rsidR="004E78F4" w:rsidRPr="00A02EDE" w:rsidRDefault="004E78F4" w:rsidP="004E78F4">
      <w:pPr>
        <w:jc w:val="both"/>
        <w:rPr>
          <w:color w:val="000000" w:themeColor="text1"/>
        </w:rPr>
      </w:pPr>
    </w:p>
    <w:p w14:paraId="298BB075" w14:textId="4CD276CB" w:rsidR="004E78F4" w:rsidRPr="00A02EDE" w:rsidRDefault="006476AF" w:rsidP="004E78F4">
      <w:pPr>
        <w:jc w:val="right"/>
        <w:rPr>
          <w:i/>
          <w:color w:val="000000" w:themeColor="text1"/>
        </w:rPr>
      </w:pPr>
      <w:r w:rsidRPr="00A02EDE">
        <w:rPr>
          <w:i/>
          <w:color w:val="000000" w:themeColor="text1"/>
        </w:rPr>
        <w:t>L</w:t>
      </w:r>
      <w:r w:rsidR="00A03C83" w:rsidRPr="00A02EDE">
        <w:rPr>
          <w:i/>
          <w:color w:val="000000" w:themeColor="text1"/>
        </w:rPr>
        <w:t>es élus certifiés du SNALC</w:t>
      </w:r>
    </w:p>
    <w:p w14:paraId="6EFD52DD" w14:textId="77777777" w:rsidR="00641A01" w:rsidRPr="00A02EDE" w:rsidRDefault="00641A01">
      <w:pPr>
        <w:rPr>
          <w:color w:val="000000" w:themeColor="text1"/>
        </w:rPr>
      </w:pPr>
    </w:p>
    <w:sectPr w:rsidR="00641A01" w:rsidRPr="00A02EDE" w:rsidSect="000E4EF2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37FE0" w14:textId="77777777" w:rsidR="00900C5A" w:rsidRDefault="00900C5A" w:rsidP="006476AF">
      <w:pPr>
        <w:spacing w:after="0" w:line="240" w:lineRule="auto"/>
      </w:pPr>
      <w:r>
        <w:separator/>
      </w:r>
    </w:p>
  </w:endnote>
  <w:endnote w:type="continuationSeparator" w:id="0">
    <w:p w14:paraId="234F8664" w14:textId="77777777" w:rsidR="00900C5A" w:rsidRDefault="00900C5A" w:rsidP="00647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180D6" w14:textId="77777777" w:rsidR="00900C5A" w:rsidRDefault="00900C5A" w:rsidP="006476AF">
      <w:pPr>
        <w:spacing w:after="0" w:line="240" w:lineRule="auto"/>
      </w:pPr>
      <w:r>
        <w:separator/>
      </w:r>
    </w:p>
  </w:footnote>
  <w:footnote w:type="continuationSeparator" w:id="0">
    <w:p w14:paraId="0DFA2C1F" w14:textId="77777777" w:rsidR="00900C5A" w:rsidRDefault="00900C5A" w:rsidP="00647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F4"/>
    <w:rsid w:val="000C695E"/>
    <w:rsid w:val="002440FB"/>
    <w:rsid w:val="00265535"/>
    <w:rsid w:val="0029417F"/>
    <w:rsid w:val="00294BA8"/>
    <w:rsid w:val="003277E0"/>
    <w:rsid w:val="0037443D"/>
    <w:rsid w:val="00413684"/>
    <w:rsid w:val="00427F9A"/>
    <w:rsid w:val="004E78F4"/>
    <w:rsid w:val="005228F3"/>
    <w:rsid w:val="00641A01"/>
    <w:rsid w:val="006476AF"/>
    <w:rsid w:val="006631F1"/>
    <w:rsid w:val="00692466"/>
    <w:rsid w:val="006B1A1F"/>
    <w:rsid w:val="006F57AA"/>
    <w:rsid w:val="0072663F"/>
    <w:rsid w:val="007528A2"/>
    <w:rsid w:val="007D1FCC"/>
    <w:rsid w:val="0080774F"/>
    <w:rsid w:val="00900C5A"/>
    <w:rsid w:val="00A02EDE"/>
    <w:rsid w:val="00A03C83"/>
    <w:rsid w:val="00A83214"/>
    <w:rsid w:val="00AA1249"/>
    <w:rsid w:val="00AC5F1C"/>
    <w:rsid w:val="00BA71DA"/>
    <w:rsid w:val="00BB5055"/>
    <w:rsid w:val="00C12CEC"/>
    <w:rsid w:val="00CC1019"/>
    <w:rsid w:val="00CC6C6F"/>
    <w:rsid w:val="00D012E5"/>
    <w:rsid w:val="00D2105B"/>
    <w:rsid w:val="00D9303A"/>
    <w:rsid w:val="00E17701"/>
    <w:rsid w:val="00F3169B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1147"/>
  <w15:docId w15:val="{49F14CDE-CCEE-4FB7-BC29-320AEC96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8F4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1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1019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47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76A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47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76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Angélique</cp:lastModifiedBy>
  <cp:revision>3</cp:revision>
  <cp:lastPrinted>2020-01-29T16:34:00Z</cp:lastPrinted>
  <dcterms:created xsi:type="dcterms:W3CDTF">2020-01-31T09:31:00Z</dcterms:created>
  <dcterms:modified xsi:type="dcterms:W3CDTF">2020-01-31T09:31:00Z</dcterms:modified>
</cp:coreProperties>
</file>